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998" w:rsidRDefault="007C148F">
      <w:pPr>
        <w:ind w:right="382"/>
        <w:jc w:val="center"/>
        <w:rPr>
          <w:b/>
          <w:color w:val="0000FF"/>
          <w:sz w:val="40"/>
        </w:rPr>
      </w:pPr>
      <w:r>
        <w:rPr>
          <w:noProof/>
        </w:rPr>
        <w:drawing>
          <wp:anchor distT="0" distB="2540" distL="114300" distR="114300" simplePos="0" relativeHeight="2" behindDoc="0" locked="0" layoutInCell="1" allowOverlap="1">
            <wp:simplePos x="0" y="0"/>
            <wp:positionH relativeFrom="column">
              <wp:posOffset>-800100</wp:posOffset>
            </wp:positionH>
            <wp:positionV relativeFrom="paragraph">
              <wp:posOffset>-571500</wp:posOffset>
            </wp:positionV>
            <wp:extent cx="1943100" cy="778510"/>
            <wp:effectExtent l="0" t="0" r="0" b="0"/>
            <wp:wrapNone/>
            <wp:docPr id="1" name="Image 7" descr="logoFirst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logoFirstTF"/>
                    <pic:cNvPicPr>
                      <a:picLocks noChangeAspect="1" noChangeArrowheads="1"/>
                    </pic:cNvPicPr>
                  </pic:nvPicPr>
                  <pic:blipFill>
                    <a:blip r:embed="rId8"/>
                    <a:srcRect t="21590" b="21590"/>
                    <a:stretch>
                      <a:fillRect/>
                    </a:stretch>
                  </pic:blipFill>
                  <pic:spPr bwMode="auto">
                    <a:xfrm>
                      <a:off x="0" y="0"/>
                      <a:ext cx="1943100" cy="778510"/>
                    </a:xfrm>
                    <a:prstGeom prst="rect">
                      <a:avLst/>
                    </a:prstGeom>
                  </pic:spPr>
                </pic:pic>
              </a:graphicData>
            </a:graphic>
          </wp:anchor>
        </w:drawing>
      </w:r>
      <w:r>
        <w:rPr>
          <w:noProof/>
        </w:rPr>
        <w:drawing>
          <wp:anchor distT="0" distB="0" distL="0" distR="0" simplePos="0" relativeHeight="9" behindDoc="0" locked="0" layoutInCell="1" allowOverlap="1">
            <wp:simplePos x="0" y="0"/>
            <wp:positionH relativeFrom="column">
              <wp:posOffset>5602605</wp:posOffset>
            </wp:positionH>
            <wp:positionV relativeFrom="paragraph">
              <wp:posOffset>-572135</wp:posOffset>
            </wp:positionV>
            <wp:extent cx="756920" cy="75692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756920" cy="756920"/>
                    </a:xfrm>
                    <a:prstGeom prst="rect">
                      <a:avLst/>
                    </a:prstGeom>
                  </pic:spPr>
                </pic:pic>
              </a:graphicData>
            </a:graphic>
          </wp:anchor>
        </w:drawing>
      </w:r>
      <w:proofErr w:type="spellStart"/>
      <w:r>
        <w:rPr>
          <w:b/>
          <w:color w:val="0000FF"/>
          <w:sz w:val="40"/>
        </w:rPr>
        <w:t>Labex</w:t>
      </w:r>
      <w:proofErr w:type="spellEnd"/>
      <w:r>
        <w:rPr>
          <w:b/>
          <w:color w:val="0000FF"/>
          <w:sz w:val="40"/>
        </w:rPr>
        <w:t xml:space="preserve"> FIRST-TF</w:t>
      </w:r>
    </w:p>
    <w:p w:rsidR="00661998" w:rsidRDefault="007C148F">
      <w:pPr>
        <w:ind w:left="-360" w:right="382"/>
        <w:jc w:val="center"/>
      </w:pPr>
      <w:r>
        <w:rPr>
          <w:b/>
          <w:color w:val="0000FF"/>
          <w:sz w:val="40"/>
        </w:rPr>
        <w:t>Appel à Projets « uni-annuel » – 202</w:t>
      </w:r>
      <w:r w:rsidR="003B115D">
        <w:rPr>
          <w:b/>
          <w:color w:val="0000FF"/>
          <w:sz w:val="40"/>
        </w:rPr>
        <w:t>1</w:t>
      </w:r>
    </w:p>
    <w:p w:rsidR="00661998" w:rsidRDefault="00661998">
      <w:pPr>
        <w:ind w:left="-360" w:right="382"/>
        <w:jc w:val="center"/>
        <w:rPr>
          <w:b/>
          <w:color w:val="0000FF"/>
          <w:sz w:val="20"/>
          <w:szCs w:val="20"/>
        </w:rPr>
      </w:pPr>
    </w:p>
    <w:p w:rsidR="00661998" w:rsidRDefault="007C148F">
      <w:pPr>
        <w:ind w:right="382"/>
        <w:jc w:val="center"/>
        <w:rPr>
          <w:b/>
          <w:sz w:val="28"/>
          <w:szCs w:val="28"/>
        </w:rPr>
      </w:pPr>
      <w:r>
        <w:rPr>
          <w:b/>
          <w:sz w:val="28"/>
          <w:szCs w:val="28"/>
        </w:rPr>
        <w:t xml:space="preserve">Formulaires de réponse et demandes d’informations à adresser à </w:t>
      </w:r>
    </w:p>
    <w:p w:rsidR="00661998" w:rsidRDefault="001E22E9">
      <w:pPr>
        <w:ind w:left="-360" w:right="382"/>
        <w:jc w:val="center"/>
      </w:pPr>
      <w:hyperlink r:id="rId10">
        <w:r w:rsidR="007C148F">
          <w:rPr>
            <w:rStyle w:val="LienInternet"/>
            <w:b/>
            <w:sz w:val="28"/>
            <w:szCs w:val="28"/>
          </w:rPr>
          <w:t>ao@first-tf.com</w:t>
        </w:r>
      </w:hyperlink>
      <w:r w:rsidR="007C148F">
        <w:rPr>
          <w:b/>
          <w:color w:val="FF0000"/>
          <w:sz w:val="28"/>
          <w:szCs w:val="28"/>
        </w:rPr>
        <w:t xml:space="preserve"> avant le </w:t>
      </w:r>
      <w:r w:rsidR="0077088D">
        <w:rPr>
          <w:b/>
          <w:color w:val="FF0000"/>
          <w:sz w:val="28"/>
          <w:szCs w:val="28"/>
        </w:rPr>
        <w:t>26</w:t>
      </w:r>
      <w:r w:rsidR="007C148F">
        <w:rPr>
          <w:b/>
          <w:color w:val="FF0000"/>
          <w:sz w:val="28"/>
          <w:szCs w:val="28"/>
        </w:rPr>
        <w:t xml:space="preserve"> </w:t>
      </w:r>
      <w:r w:rsidR="0077088D">
        <w:rPr>
          <w:b/>
          <w:color w:val="FF0000"/>
          <w:sz w:val="28"/>
          <w:szCs w:val="28"/>
        </w:rPr>
        <w:t>février</w:t>
      </w:r>
      <w:r w:rsidR="007C148F">
        <w:rPr>
          <w:b/>
          <w:color w:val="FF0000"/>
          <w:sz w:val="28"/>
          <w:szCs w:val="28"/>
        </w:rPr>
        <w:t xml:space="preserve"> 202</w:t>
      </w:r>
      <w:r w:rsidR="0077088D">
        <w:rPr>
          <w:b/>
          <w:color w:val="FF0000"/>
          <w:sz w:val="28"/>
          <w:szCs w:val="28"/>
        </w:rPr>
        <w:t>1</w:t>
      </w:r>
    </w:p>
    <w:p w:rsidR="00661998" w:rsidRDefault="00661998">
      <w:pPr>
        <w:rPr>
          <w:b/>
        </w:rPr>
      </w:pPr>
    </w:p>
    <w:p w:rsidR="00661998" w:rsidRDefault="007C148F">
      <w:pPr>
        <w:numPr>
          <w:ilvl w:val="0"/>
          <w:numId w:val="2"/>
        </w:numPr>
        <w:rPr>
          <w:b/>
          <w:sz w:val="28"/>
        </w:rPr>
      </w:pPr>
      <w:r>
        <w:rPr>
          <w:b/>
          <w:sz w:val="28"/>
        </w:rPr>
        <w:t>Introduction – Le LABEX FIRST-TF</w:t>
      </w:r>
    </w:p>
    <w:p w:rsidR="00661998" w:rsidRDefault="00661998"/>
    <w:p w:rsidR="00661998" w:rsidRDefault="007C148F">
      <w:pPr>
        <w:jc w:val="both"/>
      </w:pPr>
      <w:r>
        <w:t>Le Laboratoire d’Excellence FIRST-TF est un réseau thématique regroupant les acteurs majeurs en France de la métrologie temps-fréquence (laboratoires, industriels, centres techniques, etc.). Au-delà de la création d’un réseau d’expertise, FIRST-TF favorise l’émergence de projets collaboratifs, avec un spectre large d’applications, de la physique fondamentale aux systèmes de positionnement par satellite. La valorisation des innovations des laboratoires et leur transfert vers l’industrie constituent un enjeu majeur de ce réseau, dans le contexte socio-économique actuel où les problématiques de synchronisation sont omniprésentes. Enfin, le réseau FIRST</w:t>
      </w:r>
      <w:r>
        <w:noBreakHyphen/>
        <w:t>TF met en œuvre des offres coordonnées d’enseignement, de formation permanente et de diffusion vers le public et les scolaires, sur la métrologie de l’espace-temps, thématique fascinante à l’interface de nombreux autres champs disciplinaires.</w:t>
      </w:r>
    </w:p>
    <w:p w:rsidR="00661998" w:rsidRDefault="00661998">
      <w:pPr>
        <w:jc w:val="both"/>
      </w:pPr>
    </w:p>
    <w:p w:rsidR="00661998" w:rsidRDefault="007C148F">
      <w:pPr>
        <w:numPr>
          <w:ilvl w:val="0"/>
          <w:numId w:val="2"/>
        </w:numPr>
      </w:pPr>
      <w:r>
        <w:rPr>
          <w:b/>
          <w:sz w:val="28"/>
        </w:rPr>
        <w:t xml:space="preserve">Contexte de l’appel à projets </w:t>
      </w:r>
    </w:p>
    <w:p w:rsidR="00661998" w:rsidRDefault="00661998"/>
    <w:p w:rsidR="00661998" w:rsidRDefault="007C148F">
      <w:pPr>
        <w:jc w:val="both"/>
      </w:pPr>
      <w:r>
        <w:t>Cet appel à projets (AAP) « uni-annuel » 202</w:t>
      </w:r>
      <w:r w:rsidR="00DA78EE">
        <w:t>1</w:t>
      </w:r>
      <w:r>
        <w:t xml:space="preserve"> se situe dans la droite ligne des </w:t>
      </w:r>
      <w:proofErr w:type="spellStart"/>
      <w:r>
        <w:t>AAP</w:t>
      </w:r>
      <w:r w:rsidR="00DA78EE">
        <w:t>s</w:t>
      </w:r>
      <w:proofErr w:type="spellEnd"/>
      <w:r>
        <w:t xml:space="preserve"> des années précédentes. Un point important de vigilance est que celui-ci s’effectue en parallèle avec un autre appel d’offre FIRST-TF d’un type nouveau dit pluriannuel. </w:t>
      </w:r>
      <w:r>
        <w:rPr>
          <w:b/>
          <w:bCs/>
        </w:rPr>
        <w:t>Les formulaires de demandes sont distincts pour les deux types d’</w:t>
      </w:r>
      <w:proofErr w:type="spellStart"/>
      <w:r>
        <w:rPr>
          <w:b/>
          <w:bCs/>
        </w:rPr>
        <w:t>AAPs</w:t>
      </w:r>
      <w:proofErr w:type="spellEnd"/>
      <w:r>
        <w:rPr>
          <w:b/>
          <w:bCs/>
        </w:rPr>
        <w:t xml:space="preserve"> 202</w:t>
      </w:r>
      <w:r w:rsidR="00DA78EE">
        <w:rPr>
          <w:b/>
          <w:bCs/>
        </w:rPr>
        <w:t>1</w:t>
      </w:r>
      <w:r>
        <w:t>.</w:t>
      </w:r>
    </w:p>
    <w:p w:rsidR="00661998" w:rsidRDefault="00661998">
      <w:pPr>
        <w:jc w:val="both"/>
      </w:pPr>
    </w:p>
    <w:p w:rsidR="00661998" w:rsidRDefault="007C148F">
      <w:pPr>
        <w:jc w:val="both"/>
      </w:pPr>
      <w:r>
        <w:t>Les principaux critères d’évaluation des demandes porteront sur :</w:t>
      </w:r>
    </w:p>
    <w:p w:rsidR="00661998" w:rsidRDefault="007C148F">
      <w:pPr>
        <w:numPr>
          <w:ilvl w:val="0"/>
          <w:numId w:val="1"/>
        </w:numPr>
        <w:jc w:val="both"/>
      </w:pPr>
      <w:proofErr w:type="gramStart"/>
      <w:r>
        <w:t>les</w:t>
      </w:r>
      <w:proofErr w:type="gramEnd"/>
      <w:r>
        <w:t xml:space="preserve"> qualités scientifiques, technologiques ou éducatives du projet</w:t>
      </w:r>
    </w:p>
    <w:p w:rsidR="00661998" w:rsidRDefault="007C148F">
      <w:pPr>
        <w:numPr>
          <w:ilvl w:val="0"/>
          <w:numId w:val="1"/>
        </w:numPr>
        <w:jc w:val="both"/>
      </w:pPr>
      <w:proofErr w:type="gramStart"/>
      <w:r>
        <w:t>la</w:t>
      </w:r>
      <w:proofErr w:type="gramEnd"/>
      <w:r w:rsidR="00DA78EE">
        <w:t xml:space="preserve"> </w:t>
      </w:r>
      <w:r>
        <w:t>dimension collaborative ou la capacité de partage et de mutualisation des réalisations ou résultats du projet proposé.</w:t>
      </w:r>
    </w:p>
    <w:p w:rsidR="00661998" w:rsidRDefault="00661998">
      <w:pPr>
        <w:jc w:val="both"/>
      </w:pPr>
    </w:p>
    <w:p w:rsidR="00661998" w:rsidRDefault="007C148F">
      <w:pPr>
        <w:jc w:val="both"/>
      </w:pPr>
      <w:r>
        <w:t>Du fait de l’existence en parallèle d’un AAP FIRST-TF pluriannuel, une attention particulière doit être portée au fait que les demandes de financement de type « recherche » et « valorisation » qui seront approuvées sur l’AAP « uni-annuel » 202</w:t>
      </w:r>
      <w:r w:rsidR="00DA78EE">
        <w:t>1</w:t>
      </w:r>
      <w:r>
        <w:t xml:space="preserve"> n’ont </w:t>
      </w:r>
      <w:r>
        <w:rPr>
          <w:b/>
          <w:bCs/>
        </w:rPr>
        <w:t>pas vocation à être prolongées les années suivantes</w:t>
      </w:r>
      <w:r>
        <w:t xml:space="preserve"> (ceci ne s’appliquant pas aux demandes de type « formation »). Les projets de R&amp;D nécessitant </w:t>
      </w:r>
      <w:r>
        <w:rPr>
          <w:i/>
          <w:iCs/>
        </w:rPr>
        <w:t>a priori</w:t>
      </w:r>
      <w:r>
        <w:t xml:space="preserve"> un financement de FIRST-TF pendant plusieurs années doivent donc, logiquement, s’orienter vers l’AAP pluriannuel.</w:t>
      </w:r>
    </w:p>
    <w:p w:rsidR="00661998" w:rsidRDefault="00661998"/>
    <w:p w:rsidR="00661998" w:rsidRDefault="007C148F">
      <w:pPr>
        <w:numPr>
          <w:ilvl w:val="1"/>
          <w:numId w:val="1"/>
        </w:numPr>
        <w:tabs>
          <w:tab w:val="left" w:pos="360"/>
        </w:tabs>
        <w:ind w:left="0"/>
      </w:pPr>
      <w:r>
        <w:rPr>
          <w:b/>
          <w:sz w:val="28"/>
        </w:rPr>
        <w:t>Éligibilité des projets</w:t>
      </w:r>
    </w:p>
    <w:p w:rsidR="00661998" w:rsidRDefault="00661998"/>
    <w:p w:rsidR="00661998" w:rsidRDefault="007C148F">
      <w:pPr>
        <w:jc w:val="both"/>
      </w:pPr>
      <w:r>
        <w:rPr>
          <w:b/>
          <w:bCs/>
        </w:rPr>
        <w:t>Toutes les structures membres de FIRST-TF (mais uniquement celles-ci) peuvent porter ou être partenaire du projet</w:t>
      </w:r>
      <w:r>
        <w:t>, qu’elles soient du premier ou du second cercle (liste en annexe).</w:t>
      </w:r>
    </w:p>
    <w:p w:rsidR="00661998" w:rsidRDefault="00661998">
      <w:pPr>
        <w:jc w:val="both"/>
      </w:pPr>
    </w:p>
    <w:p w:rsidR="00661998" w:rsidRDefault="007C148F">
      <w:pPr>
        <w:jc w:val="both"/>
      </w:pPr>
      <w:r>
        <w:lastRenderedPageBreak/>
        <w:t xml:space="preserve">Pour les projets retenus, les financements seront effectués exclusivement dans les laboratoires de recherche publics français membres de FIRST-TF, qu’ils soient du premier ou du deuxième cercle (liste en annexe). La </w:t>
      </w:r>
      <w:r>
        <w:rPr>
          <w:b/>
          <w:bCs/>
        </w:rPr>
        <w:t>tutelle de gestion</w:t>
      </w:r>
      <w:r>
        <w:t xml:space="preserve"> est a priori le CNRS, mais tout ou partie du financement pourra être géré par l’un des autres </w:t>
      </w:r>
      <w:r>
        <w:rPr>
          <w:b/>
          <w:bCs/>
        </w:rPr>
        <w:t>établissements tutelles de FIRST-TF</w:t>
      </w:r>
      <w:r>
        <w:t xml:space="preserve"> (liste en annexe) en cas de nécessité, via l’établissement d’une convention de reversement, et </w:t>
      </w:r>
      <w:r>
        <w:rPr>
          <w:b/>
          <w:bCs/>
        </w:rPr>
        <w:t>à l’exclusion de tout autre établissement</w:t>
      </w:r>
      <w:r>
        <w:t>.</w:t>
      </w:r>
    </w:p>
    <w:p w:rsidR="00661998" w:rsidRDefault="00661998">
      <w:pPr>
        <w:jc w:val="both"/>
      </w:pPr>
    </w:p>
    <w:p w:rsidR="00661998" w:rsidRDefault="007C148F">
      <w:pPr>
        <w:jc w:val="both"/>
      </w:pPr>
      <w:r>
        <w:t xml:space="preserve">Les dépenses éligibles sont les dépenses de personnel (CDD ingénieur, financement de thèse partiel ou complet, financement de post-doctorant/CDD chercheur), de fonctionnement, et d’équipement (défini comme achat, hors fluides, de coût unitaire supérieur à 4k€). Il est rappelé expressément que, comme toute dépense </w:t>
      </w:r>
      <w:proofErr w:type="spellStart"/>
      <w:r>
        <w:t>Labex</w:t>
      </w:r>
      <w:proofErr w:type="spellEnd"/>
      <w:r>
        <w:t xml:space="preserve">, </w:t>
      </w:r>
      <w:r>
        <w:rPr>
          <w:b/>
          <w:bCs/>
        </w:rPr>
        <w:t>aucune forme de facturation interne</w:t>
      </w:r>
      <w:r>
        <w:t xml:space="preserve"> </w:t>
      </w:r>
      <w:r>
        <w:rPr>
          <w:b/>
          <w:bCs/>
        </w:rPr>
        <w:t xml:space="preserve">n’est éligible </w:t>
      </w:r>
      <w:r>
        <w:t xml:space="preserve">(frais de fluides, d’accès à des salles blanches, </w:t>
      </w:r>
      <w:r>
        <w:rPr>
          <w:i/>
          <w:iCs/>
        </w:rPr>
        <w:t>etc.</w:t>
      </w:r>
      <w:r>
        <w:t>), que ce soit entre ou au sein des établissements partenaires (liste en annexe).</w:t>
      </w:r>
    </w:p>
    <w:p w:rsidR="00661998" w:rsidRDefault="00661998">
      <w:pPr>
        <w:jc w:val="both"/>
        <w:rPr>
          <w:b/>
          <w:sz w:val="28"/>
        </w:rPr>
      </w:pPr>
    </w:p>
    <w:p w:rsidR="00661998" w:rsidRDefault="00661998">
      <w:pPr>
        <w:rPr>
          <w:b/>
          <w:sz w:val="28"/>
        </w:rPr>
      </w:pPr>
    </w:p>
    <w:p w:rsidR="00661998" w:rsidRDefault="007C148F">
      <w:pPr>
        <w:numPr>
          <w:ilvl w:val="0"/>
          <w:numId w:val="3"/>
        </w:numPr>
      </w:pPr>
      <w:r>
        <w:rPr>
          <w:b/>
          <w:sz w:val="28"/>
        </w:rPr>
        <w:t>Calendrier</w:t>
      </w:r>
    </w:p>
    <w:p w:rsidR="00661998" w:rsidRDefault="00661998">
      <w:pPr>
        <w:rPr>
          <w:b/>
          <w:sz w:val="28"/>
        </w:rPr>
      </w:pPr>
    </w:p>
    <w:p w:rsidR="00661998" w:rsidRDefault="00661998"/>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9"/>
        <w:gridCol w:w="7171"/>
      </w:tblGrid>
      <w:tr w:rsidR="00661998">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98" w:rsidRDefault="007C148F">
            <w:r>
              <w:rPr>
                <w:sz w:val="22"/>
              </w:rPr>
              <w:t>1</w:t>
            </w:r>
            <w:r w:rsidR="00DA78EE">
              <w:rPr>
                <w:sz w:val="22"/>
              </w:rPr>
              <w:t>5</w:t>
            </w:r>
            <w:r>
              <w:rPr>
                <w:sz w:val="22"/>
              </w:rPr>
              <w:t xml:space="preserve"> </w:t>
            </w:r>
            <w:r w:rsidR="00DA78EE">
              <w:rPr>
                <w:sz w:val="22"/>
              </w:rPr>
              <w:t>janv</w:t>
            </w:r>
            <w:r>
              <w:rPr>
                <w:sz w:val="22"/>
              </w:rPr>
              <w:t>ier 202</w:t>
            </w:r>
            <w:r w:rsidR="00DA78EE">
              <w:rPr>
                <w:sz w:val="22"/>
              </w:rPr>
              <w:t>1</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98" w:rsidRDefault="007C148F">
            <w:r>
              <w:rPr>
                <w:sz w:val="22"/>
              </w:rPr>
              <w:t>Lancement de l’appel à projets</w:t>
            </w:r>
          </w:p>
        </w:tc>
      </w:tr>
      <w:tr w:rsidR="00661998">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98" w:rsidRDefault="00DA78EE">
            <w:r>
              <w:rPr>
                <w:sz w:val="22"/>
              </w:rPr>
              <w:t>26 février</w:t>
            </w:r>
            <w:r w:rsidR="007C148F">
              <w:rPr>
                <w:sz w:val="22"/>
              </w:rPr>
              <w:t xml:space="preserve"> 202</w:t>
            </w:r>
            <w:r>
              <w:rPr>
                <w:sz w:val="22"/>
              </w:rPr>
              <w:t>1</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98" w:rsidRDefault="007C148F">
            <w:r>
              <w:rPr>
                <w:sz w:val="22"/>
              </w:rPr>
              <w:t xml:space="preserve">Date limite d’envoi des projets à l’adresse </w:t>
            </w:r>
            <w:hyperlink r:id="rId11">
              <w:r>
                <w:rPr>
                  <w:rStyle w:val="LienInternet"/>
                  <w:sz w:val="22"/>
                </w:rPr>
                <w:t>ao@first-tf.com</w:t>
              </w:r>
            </w:hyperlink>
            <w:r>
              <w:rPr>
                <w:sz w:val="22"/>
              </w:rPr>
              <w:t xml:space="preserve"> </w:t>
            </w:r>
          </w:p>
        </w:tc>
      </w:tr>
      <w:tr w:rsidR="00661998">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98" w:rsidRDefault="007C148F">
            <w:r>
              <w:rPr>
                <w:sz w:val="22"/>
              </w:rPr>
              <w:t>À partir du</w:t>
            </w:r>
          </w:p>
          <w:p w:rsidR="00661998" w:rsidRDefault="00DA78EE">
            <w:r>
              <w:rPr>
                <w:sz w:val="22"/>
              </w:rPr>
              <w:t>0</w:t>
            </w:r>
            <w:r w:rsidR="007C148F">
              <w:rPr>
                <w:sz w:val="22"/>
              </w:rPr>
              <w:t>5 avril 202</w:t>
            </w:r>
            <w:r>
              <w:rPr>
                <w:sz w:val="22"/>
              </w:rPr>
              <w:t>1</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98" w:rsidRDefault="007C148F">
            <w:r>
              <w:rPr>
                <w:sz w:val="22"/>
              </w:rPr>
              <w:t>Attribution des crédits aux projets retenus.</w:t>
            </w:r>
          </w:p>
        </w:tc>
      </w:tr>
      <w:tr w:rsidR="00661998">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98" w:rsidRDefault="00DA78EE">
            <w:r>
              <w:t>03 janvier</w:t>
            </w:r>
            <w:r w:rsidR="007C148F">
              <w:t xml:space="preserve"> 202</w:t>
            </w:r>
            <w:r>
              <w:t>2</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998" w:rsidRDefault="007C148F">
            <w:r>
              <w:t>Date limite de justification financière pour les dépenses de fonctionnement et d’équipement</w:t>
            </w:r>
          </w:p>
          <w:p w:rsidR="00661998" w:rsidRDefault="007C148F">
            <w:r>
              <w:t>Date limite de début de contrat pour les CDD</w:t>
            </w:r>
          </w:p>
        </w:tc>
      </w:tr>
    </w:tbl>
    <w:p w:rsidR="00661998" w:rsidRDefault="00661998"/>
    <w:p w:rsidR="00661998" w:rsidRDefault="00661998"/>
    <w:p w:rsidR="00661998" w:rsidRDefault="007C148F">
      <w:pPr>
        <w:numPr>
          <w:ilvl w:val="0"/>
          <w:numId w:val="3"/>
        </w:numPr>
        <w:rPr>
          <w:b/>
          <w:sz w:val="28"/>
        </w:rPr>
      </w:pPr>
      <w:r>
        <w:rPr>
          <w:b/>
          <w:sz w:val="28"/>
        </w:rPr>
        <w:t>Constitution du dossier</w:t>
      </w:r>
    </w:p>
    <w:p w:rsidR="00661998" w:rsidRDefault="00661998"/>
    <w:p w:rsidR="00661998" w:rsidRDefault="007C148F">
      <w:pPr>
        <w:jc w:val="both"/>
      </w:pPr>
      <w:r>
        <w:rPr>
          <w:b/>
        </w:rPr>
        <w:t xml:space="preserve">Le dossier de candidature complété est à envoyer à </w:t>
      </w:r>
      <w:hyperlink r:id="rId12">
        <w:r>
          <w:rPr>
            <w:rStyle w:val="LienInternet"/>
            <w:b/>
          </w:rPr>
          <w:t>ao@first-tf.com</w:t>
        </w:r>
      </w:hyperlink>
      <w:r>
        <w:rPr>
          <w:b/>
        </w:rPr>
        <w:t xml:space="preserve"> sous formats .doc(x), .</w:t>
      </w:r>
      <w:proofErr w:type="spellStart"/>
      <w:r>
        <w:rPr>
          <w:b/>
        </w:rPr>
        <w:t>odt</w:t>
      </w:r>
      <w:proofErr w:type="spellEnd"/>
      <w:r>
        <w:rPr>
          <w:b/>
        </w:rPr>
        <w:t xml:space="preserve"> </w:t>
      </w:r>
      <w:proofErr w:type="gramStart"/>
      <w:r>
        <w:rPr>
          <w:b/>
        </w:rPr>
        <w:t>ou</w:t>
      </w:r>
      <w:proofErr w:type="gramEnd"/>
      <w:r>
        <w:rPr>
          <w:b/>
        </w:rPr>
        <w:t xml:space="preserve"> .</w:t>
      </w:r>
      <w:proofErr w:type="spellStart"/>
      <w:r>
        <w:rPr>
          <w:b/>
        </w:rPr>
        <w:t>pdf</w:t>
      </w:r>
      <w:proofErr w:type="spellEnd"/>
      <w:r>
        <w:rPr>
          <w:b/>
        </w:rPr>
        <w:t xml:space="preserve"> avant le </w:t>
      </w:r>
      <w:r w:rsidR="00DA78EE">
        <w:rPr>
          <w:b/>
        </w:rPr>
        <w:t>26 février</w:t>
      </w:r>
      <w:r>
        <w:rPr>
          <w:b/>
        </w:rPr>
        <w:t xml:space="preserve"> 202</w:t>
      </w:r>
      <w:r w:rsidR="00DA78EE">
        <w:rPr>
          <w:b/>
        </w:rPr>
        <w:t>1</w:t>
      </w:r>
      <w:r>
        <w:rPr>
          <w:b/>
        </w:rPr>
        <w:t xml:space="preserve"> pour une version non signée. Les versions signées devront être transmise</w:t>
      </w:r>
      <w:r w:rsidR="00355E80">
        <w:rPr>
          <w:b/>
        </w:rPr>
        <w:t>s</w:t>
      </w:r>
      <w:r>
        <w:rPr>
          <w:b/>
        </w:rPr>
        <w:t xml:space="preserve"> à la même adresse en .</w:t>
      </w:r>
      <w:proofErr w:type="spellStart"/>
      <w:r>
        <w:rPr>
          <w:b/>
        </w:rPr>
        <w:t>pdf</w:t>
      </w:r>
      <w:proofErr w:type="spellEnd"/>
      <w:r>
        <w:rPr>
          <w:b/>
        </w:rPr>
        <w:t xml:space="preserve">, au plus tard au </w:t>
      </w:r>
      <w:r w:rsidR="00DA78EE">
        <w:rPr>
          <w:b/>
        </w:rPr>
        <w:t>08 mars</w:t>
      </w:r>
      <w:r>
        <w:rPr>
          <w:b/>
        </w:rPr>
        <w:t xml:space="preserve"> 202</w:t>
      </w:r>
      <w:r w:rsidR="00DA78EE">
        <w:rPr>
          <w:b/>
        </w:rPr>
        <w:t>1</w:t>
      </w:r>
      <w:r>
        <w:rPr>
          <w:b/>
        </w:rPr>
        <w:t>.</w:t>
      </w:r>
    </w:p>
    <w:p w:rsidR="00661998" w:rsidRDefault="00661998">
      <w:pPr>
        <w:jc w:val="both"/>
        <w:rPr>
          <w:b/>
        </w:rPr>
      </w:pPr>
    </w:p>
    <w:p w:rsidR="00661998" w:rsidRDefault="007C148F">
      <w:pPr>
        <w:jc w:val="both"/>
      </w:pPr>
      <w:r>
        <w:rPr>
          <w:b/>
        </w:rPr>
        <w:t>Le dossier peut être rédigé en français ou anglais indistinctement.</w:t>
      </w:r>
    </w:p>
    <w:p w:rsidR="003B115D" w:rsidRDefault="003B115D">
      <w:pPr>
        <w:jc w:val="both"/>
        <w:rPr>
          <w:b/>
          <w:sz w:val="28"/>
        </w:rPr>
      </w:pPr>
    </w:p>
    <w:p w:rsidR="003B115D" w:rsidRDefault="003B115D">
      <w:pPr>
        <w:jc w:val="both"/>
        <w:rPr>
          <w:b/>
          <w:sz w:val="28"/>
        </w:rPr>
      </w:pPr>
    </w:p>
    <w:p w:rsidR="00661998" w:rsidRDefault="00661998">
      <w:pPr>
        <w:jc w:val="center"/>
        <w:rPr>
          <w:b/>
          <w:sz w:val="28"/>
        </w:rPr>
      </w:pPr>
    </w:p>
    <w:p w:rsidR="003B115D" w:rsidRDefault="003B115D">
      <w:pPr>
        <w:jc w:val="center"/>
        <w:rPr>
          <w:b/>
          <w:sz w:val="28"/>
        </w:rPr>
      </w:pPr>
    </w:p>
    <w:p w:rsidR="003B115D" w:rsidRDefault="003B115D">
      <w:pPr>
        <w:jc w:val="center"/>
        <w:rPr>
          <w:b/>
          <w:sz w:val="28"/>
        </w:rPr>
      </w:pPr>
    </w:p>
    <w:p w:rsidR="003B115D" w:rsidRDefault="003B115D">
      <w:pPr>
        <w:jc w:val="center"/>
        <w:rPr>
          <w:b/>
          <w:sz w:val="28"/>
        </w:rPr>
      </w:pPr>
    </w:p>
    <w:p w:rsidR="00661998" w:rsidRDefault="007C148F">
      <w:pPr>
        <w:jc w:val="center"/>
      </w:pPr>
      <w:r>
        <w:rPr>
          <w:b/>
          <w:sz w:val="28"/>
        </w:rPr>
        <w:lastRenderedPageBreak/>
        <w:t>ANNEXE 1 – Liste des membres de FIRST-TF (</w:t>
      </w:r>
      <w:r w:rsidR="00DA78EE">
        <w:rPr>
          <w:b/>
          <w:sz w:val="28"/>
        </w:rPr>
        <w:t>janvier</w:t>
      </w:r>
      <w:r>
        <w:rPr>
          <w:b/>
          <w:sz w:val="28"/>
        </w:rPr>
        <w:t xml:space="preserve"> 202</w:t>
      </w:r>
      <w:r w:rsidR="00DA78EE">
        <w:rPr>
          <w:b/>
          <w:sz w:val="28"/>
        </w:rPr>
        <w:t>1</w:t>
      </w:r>
      <w:r>
        <w:rPr>
          <w:b/>
          <w:sz w:val="28"/>
        </w:rPr>
        <w:t>)</w:t>
      </w:r>
    </w:p>
    <w:p w:rsidR="00661998" w:rsidRDefault="00661998">
      <w:pPr>
        <w:jc w:val="both"/>
        <w:rPr>
          <w:color w:val="0000FF"/>
          <w:sz w:val="26"/>
        </w:rPr>
      </w:pPr>
    </w:p>
    <w:p w:rsidR="00661998" w:rsidRDefault="007C148F">
      <w:pPr>
        <w:jc w:val="both"/>
      </w:pPr>
      <w:r>
        <w:rPr>
          <w:rFonts w:eastAsia="Wingdings" w:cs="Wingdings"/>
          <w:b/>
          <w:i/>
          <w:color w:val="0000FF"/>
          <w:sz w:val="26"/>
        </w:rPr>
        <w:t xml:space="preserve">→ </w:t>
      </w:r>
      <w:r>
        <w:rPr>
          <w:b/>
          <w:i/>
          <w:color w:val="0000FF"/>
          <w:sz w:val="26"/>
        </w:rPr>
        <w:t>Laboratoires du premier cercle</w:t>
      </w:r>
    </w:p>
    <w:tbl>
      <w:tblPr>
        <w:tblW w:w="3402"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402"/>
      </w:tblGrid>
      <w:tr w:rsidR="00661998">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Calibri" w:hAnsi="Calibri"/>
                <w:color w:val="000000"/>
                <w:sz w:val="22"/>
                <w:szCs w:val="22"/>
              </w:rPr>
            </w:pPr>
            <w:r>
              <w:rPr>
                <w:rFonts w:ascii="Liberation Sans" w:hAnsi="Liberation Sans"/>
                <w:color w:val="000000"/>
                <w:sz w:val="20"/>
                <w:szCs w:val="20"/>
              </w:rPr>
              <w:t>FEMTO-ST</w:t>
            </w:r>
          </w:p>
        </w:tc>
      </w:tr>
      <w:tr w:rsidR="00661998">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Calibri" w:hAnsi="Calibri"/>
                <w:color w:val="000000"/>
                <w:sz w:val="22"/>
                <w:szCs w:val="22"/>
              </w:rPr>
            </w:pPr>
            <w:r>
              <w:rPr>
                <w:rFonts w:ascii="Liberation Sans" w:hAnsi="Liberation Sans"/>
                <w:color w:val="000000"/>
                <w:sz w:val="20"/>
                <w:szCs w:val="20"/>
              </w:rPr>
              <w:t>GEOAZUR</w:t>
            </w:r>
          </w:p>
        </w:tc>
      </w:tr>
      <w:tr w:rsidR="00661998">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Calibri" w:hAnsi="Calibri"/>
                <w:color w:val="000000"/>
                <w:sz w:val="22"/>
                <w:szCs w:val="22"/>
              </w:rPr>
            </w:pPr>
            <w:r>
              <w:rPr>
                <w:rFonts w:ascii="Liberation Sans" w:hAnsi="Liberation Sans"/>
                <w:color w:val="000000"/>
                <w:sz w:val="20"/>
                <w:szCs w:val="20"/>
              </w:rPr>
              <w:t>LPL</w:t>
            </w:r>
          </w:p>
        </w:tc>
      </w:tr>
      <w:tr w:rsidR="00661998">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SYRTE</w:t>
            </w:r>
          </w:p>
        </w:tc>
      </w:tr>
      <w:tr w:rsidR="00661998">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Calibri" w:hAnsi="Calibri"/>
                <w:color w:val="000000"/>
                <w:sz w:val="22"/>
                <w:szCs w:val="22"/>
              </w:rPr>
            </w:pPr>
            <w:r>
              <w:rPr>
                <w:rFonts w:ascii="Liberation Sans" w:hAnsi="Liberation Sans"/>
                <w:color w:val="000000"/>
                <w:sz w:val="20"/>
                <w:szCs w:val="20"/>
              </w:rPr>
              <w:t>UTINAM</w:t>
            </w:r>
          </w:p>
        </w:tc>
      </w:tr>
    </w:tbl>
    <w:p w:rsidR="00661998" w:rsidRDefault="00661998">
      <w:pPr>
        <w:pStyle w:val="Corpsdetexte"/>
      </w:pPr>
    </w:p>
    <w:p w:rsidR="00661998" w:rsidRDefault="007C148F">
      <w:pPr>
        <w:jc w:val="both"/>
      </w:pPr>
      <w:r>
        <w:rPr>
          <w:rFonts w:eastAsia="Wingdings" w:cs="Wingdings"/>
          <w:b/>
          <w:i/>
          <w:color w:val="0000FF"/>
          <w:sz w:val="26"/>
        </w:rPr>
        <w:t xml:space="preserve">→ </w:t>
      </w:r>
      <w:r>
        <w:rPr>
          <w:b/>
          <w:i/>
          <w:color w:val="0000FF"/>
          <w:sz w:val="26"/>
        </w:rPr>
        <w:t>Laboratoires du second cercle</w:t>
      </w:r>
    </w:p>
    <w:tbl>
      <w:tblPr>
        <w:tblW w:w="453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4537"/>
      </w:tblGrid>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APC</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ARTEMIS</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sz w:val="20"/>
                <w:szCs w:val="20"/>
              </w:rPr>
            </w:pPr>
            <w:r>
              <w:rPr>
                <w:sz w:val="20"/>
                <w:szCs w:val="20"/>
              </w:rPr>
              <w:t>ICGM</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IEMN</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r>
              <w:rPr>
                <w:rFonts w:ascii="Liberation Sans" w:hAnsi="Liberation Sans"/>
                <w:color w:val="000000"/>
                <w:sz w:val="20"/>
                <w:szCs w:val="20"/>
              </w:rPr>
              <w:t>Institut FOTON</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LAAS</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LAGRANGE</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LAREG</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LCAR</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LCF</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LCM</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LERMA</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sz w:val="20"/>
                <w:szCs w:val="20"/>
              </w:rPr>
              <w:t>LI</w:t>
            </w:r>
            <w:r w:rsidR="00DA78EE">
              <w:rPr>
                <w:rFonts w:ascii="Liberation Sans" w:hAnsi="Liberation Sans"/>
                <w:sz w:val="20"/>
                <w:szCs w:val="20"/>
              </w:rPr>
              <w:t>PHY</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LKB</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LP2N</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MPQ</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PHLAM</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PIIM</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SPINTEC</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DA78EE">
            <w:pPr>
              <w:rPr>
                <w:rFonts w:ascii="Liberation Sans" w:hAnsi="Liberation Sans" w:hint="eastAsia"/>
                <w:sz w:val="20"/>
                <w:szCs w:val="20"/>
              </w:rPr>
            </w:pPr>
            <w:r>
              <w:rPr>
                <w:rFonts w:ascii="Liberation Sans" w:hAnsi="Liberation Sans"/>
                <w:color w:val="000000"/>
                <w:sz w:val="20"/>
                <w:szCs w:val="20"/>
              </w:rPr>
              <w:t xml:space="preserve">UMPHY </w:t>
            </w:r>
            <w:r w:rsidR="007C148F">
              <w:rPr>
                <w:rFonts w:ascii="Liberation Sans" w:hAnsi="Liberation Sans"/>
                <w:color w:val="000000"/>
                <w:sz w:val="20"/>
                <w:szCs w:val="20"/>
              </w:rPr>
              <w:t>Unité mixte de recherche CNRS-Thales</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USN</w:t>
            </w:r>
          </w:p>
        </w:tc>
      </w:tr>
      <w:tr w:rsidR="00661998" w:rsidTr="00DA78EE">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XLIM</w:t>
            </w:r>
          </w:p>
        </w:tc>
      </w:tr>
    </w:tbl>
    <w:p w:rsidR="00661998" w:rsidRDefault="00661998"/>
    <w:p w:rsidR="00661998" w:rsidRDefault="00661998">
      <w:pPr>
        <w:jc w:val="both"/>
        <w:rPr>
          <w:rFonts w:ascii="Wingdings" w:eastAsia="Wingdings" w:hAnsi="Wingdings" w:cs="Wingdings"/>
          <w:color w:val="0000FF"/>
          <w:sz w:val="26"/>
        </w:rPr>
      </w:pPr>
    </w:p>
    <w:p w:rsidR="00661998" w:rsidRDefault="007C148F">
      <w:pPr>
        <w:jc w:val="both"/>
      </w:pPr>
      <w:r>
        <w:rPr>
          <w:b/>
          <w:i/>
          <w:color w:val="0000FF"/>
          <w:sz w:val="26"/>
        </w:rPr>
        <w:t>→ Industriels et conseils en France</w:t>
      </w:r>
    </w:p>
    <w:p w:rsidR="00661998" w:rsidRDefault="00661998">
      <w:pPr>
        <w:jc w:val="both"/>
        <w:rPr>
          <w:b/>
          <w:i/>
          <w:color w:val="0000FF"/>
          <w:sz w:val="26"/>
        </w:rPr>
      </w:pPr>
    </w:p>
    <w:tbl>
      <w:tblPr>
        <w:tblW w:w="3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754"/>
      </w:tblGrid>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III-V LAB</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AIRBUS DEFENCE &amp; SPACE</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AR-ELECTRONIQUE</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ARMADEUS SYSTEMS</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sz w:val="20"/>
                <w:szCs w:val="20"/>
              </w:rPr>
              <w:t>AUBRY CONSEIL</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BODET</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sz w:val="20"/>
                <w:szCs w:val="20"/>
              </w:rPr>
              <w:t>CNRS INNOVATION</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lastRenderedPageBreak/>
              <w:t>CRISTALINNOV</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FDC</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 xml:space="preserve">FREC'N'SYS </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GORGY TIMING</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HITIM GROUP (GEMMA)</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IDIL</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KEYSIGHT TECHNOLOGIES</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MUQUANS</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NAVAL GROUP</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ORANGE</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RAKON</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proofErr w:type="spellStart"/>
            <w:r>
              <w:rPr>
                <w:rFonts w:ascii="Liberation Sans" w:hAnsi="Liberation Sans"/>
                <w:sz w:val="20"/>
                <w:szCs w:val="20"/>
              </w:rPr>
              <w:t>SCPTime</w:t>
            </w:r>
            <w:proofErr w:type="spellEnd"/>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SENSEOR</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sz w:val="20"/>
                <w:szCs w:val="20"/>
              </w:rPr>
              <w:t>SIGMAWORKS</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SODERN</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SPECTRACOM</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SPHEREA TEST &amp; SERVICES</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SYRLINKS</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THALES ALENIA SPACE</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THALES AVIONIC SYSTEMS FRANCE</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THALES RESEARCH &amp; TECHNOLOGY</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TIMELINK MICROSYSTEMS</w:t>
            </w:r>
          </w:p>
        </w:tc>
      </w:tr>
      <w:tr w:rsidR="00661998">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TRONICS</w:t>
            </w:r>
          </w:p>
        </w:tc>
      </w:tr>
    </w:tbl>
    <w:p w:rsidR="00661998" w:rsidRDefault="00661998"/>
    <w:p w:rsidR="00661998" w:rsidRDefault="00661998"/>
    <w:p w:rsidR="00661998" w:rsidRDefault="007C148F">
      <w:pPr>
        <w:jc w:val="both"/>
      </w:pPr>
      <w:r>
        <w:rPr>
          <w:b/>
          <w:i/>
          <w:color w:val="0000FF"/>
          <w:sz w:val="26"/>
        </w:rPr>
        <w:t>→ Centres techniques, agences</w:t>
      </w:r>
    </w:p>
    <w:p w:rsidR="00661998" w:rsidRDefault="00661998">
      <w:pPr>
        <w:jc w:val="both"/>
        <w:rPr>
          <w:b/>
          <w:i/>
          <w:color w:val="0000FF"/>
          <w:sz w:val="26"/>
        </w:rPr>
      </w:pPr>
    </w:p>
    <w:tbl>
      <w:tblPr>
        <w:tblW w:w="3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681"/>
      </w:tblGrid>
      <w:tr w:rsidR="00661998">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CNES</w:t>
            </w:r>
          </w:p>
        </w:tc>
      </w:tr>
      <w:tr w:rsidR="00661998">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DGA</w:t>
            </w:r>
          </w:p>
        </w:tc>
      </w:tr>
      <w:tr w:rsidR="00661998">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ONERA</w:t>
            </w:r>
          </w:p>
        </w:tc>
      </w:tr>
    </w:tbl>
    <w:p w:rsidR="00661998" w:rsidRDefault="00661998"/>
    <w:p w:rsidR="00661998" w:rsidRDefault="00661998"/>
    <w:p w:rsidR="00661998" w:rsidRDefault="007C148F">
      <w:pPr>
        <w:jc w:val="both"/>
      </w:pPr>
      <w:r>
        <w:rPr>
          <w:b/>
          <w:i/>
          <w:color w:val="0000FF"/>
          <w:sz w:val="26"/>
        </w:rPr>
        <w:t>→ Associations, autres, structures associées</w:t>
      </w:r>
    </w:p>
    <w:p w:rsidR="00661998" w:rsidRDefault="00661998">
      <w:pPr>
        <w:jc w:val="both"/>
      </w:pPr>
    </w:p>
    <w:tbl>
      <w:tblPr>
        <w:tblW w:w="3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681"/>
      </w:tblGrid>
      <w:tr w:rsidR="00661998">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sz w:val="20"/>
                <w:szCs w:val="20"/>
              </w:rPr>
              <w:t>BIPM</w:t>
            </w:r>
          </w:p>
        </w:tc>
      </w:tr>
      <w:tr w:rsidR="00661998">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FHITM</w:t>
            </w:r>
          </w:p>
        </w:tc>
      </w:tr>
      <w:tr w:rsidR="00661998">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sz w:val="20"/>
                <w:szCs w:val="20"/>
              </w:rPr>
              <w:t>OSCILLOQUARZ</w:t>
            </w:r>
          </w:p>
        </w:tc>
      </w:tr>
      <w:tr w:rsidR="00661998">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RENATER</w:t>
            </w:r>
          </w:p>
        </w:tc>
      </w:tr>
      <w:tr w:rsidR="00661998">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SFMC</w:t>
            </w:r>
          </w:p>
        </w:tc>
      </w:tr>
    </w:tbl>
    <w:p w:rsidR="00661998" w:rsidRDefault="00661998"/>
    <w:p w:rsidR="00661998" w:rsidRDefault="00661998"/>
    <w:p w:rsidR="00661998" w:rsidRDefault="00661998"/>
    <w:p w:rsidR="003B115D" w:rsidRDefault="003B115D"/>
    <w:p w:rsidR="003B115D" w:rsidRDefault="003B115D"/>
    <w:p w:rsidR="003B115D" w:rsidRDefault="003B115D"/>
    <w:p w:rsidR="00661998" w:rsidRDefault="00661998"/>
    <w:p w:rsidR="00661998" w:rsidRDefault="00661998"/>
    <w:p w:rsidR="00661998" w:rsidRDefault="007C148F">
      <w:pPr>
        <w:jc w:val="center"/>
      </w:pPr>
      <w:r>
        <w:rPr>
          <w:b/>
          <w:sz w:val="28"/>
        </w:rPr>
        <w:t xml:space="preserve">ANNEXE 2 – Liste des établissements tutelles/partenaires de FIRST-TF </w:t>
      </w:r>
    </w:p>
    <w:p w:rsidR="00661998" w:rsidRDefault="00661998">
      <w:pPr>
        <w:jc w:val="center"/>
        <w:rPr>
          <w:b/>
          <w:sz w:val="28"/>
        </w:rPr>
      </w:pPr>
    </w:p>
    <w:p w:rsidR="00661998" w:rsidRDefault="00661998">
      <w:pPr>
        <w:jc w:val="center"/>
        <w:rPr>
          <w:b/>
          <w:sz w:val="28"/>
        </w:rPr>
      </w:pPr>
    </w:p>
    <w:tbl>
      <w:tblPr>
        <w:tblW w:w="3909"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909"/>
      </w:tblGrid>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CNRS</w:t>
            </w:r>
          </w:p>
        </w:tc>
      </w:tr>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ENSMM</w:t>
            </w:r>
          </w:p>
        </w:tc>
      </w:tr>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LNE</w:t>
            </w:r>
          </w:p>
        </w:tc>
      </w:tr>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color w:val="000000"/>
              </w:rPr>
            </w:pPr>
            <w:r>
              <w:rPr>
                <w:rFonts w:ascii="Liberation Sans" w:hAnsi="Liberation Sans"/>
                <w:color w:val="000000"/>
                <w:sz w:val="20"/>
                <w:szCs w:val="20"/>
              </w:rPr>
              <w:t>OCA (composante de l’UCA)</w:t>
            </w:r>
          </w:p>
        </w:tc>
      </w:tr>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OP</w:t>
            </w:r>
          </w:p>
        </w:tc>
      </w:tr>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SU</w:t>
            </w:r>
          </w:p>
        </w:tc>
      </w:tr>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UCA</w:t>
            </w:r>
          </w:p>
        </w:tc>
      </w:tr>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UFC</w:t>
            </w:r>
          </w:p>
        </w:tc>
      </w:tr>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USPN</w:t>
            </w:r>
          </w:p>
        </w:tc>
      </w:tr>
      <w:tr w:rsidR="00661998">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1998" w:rsidRDefault="007C148F">
            <w:pPr>
              <w:rPr>
                <w:rFonts w:ascii="Liberation Sans" w:hAnsi="Liberation Sans" w:hint="eastAsia"/>
                <w:sz w:val="20"/>
                <w:szCs w:val="20"/>
              </w:rPr>
            </w:pPr>
            <w:r>
              <w:rPr>
                <w:rFonts w:ascii="Liberation Sans" w:hAnsi="Liberation Sans"/>
                <w:color w:val="000000"/>
                <w:sz w:val="20"/>
                <w:szCs w:val="20"/>
              </w:rPr>
              <w:t>UTBM</w:t>
            </w:r>
          </w:p>
        </w:tc>
      </w:tr>
    </w:tbl>
    <w:p w:rsidR="00661998" w:rsidRDefault="00661998"/>
    <w:sectPr w:rsidR="00661998">
      <w:headerReference w:type="default" r:id="rId13"/>
      <w:footerReference w:type="default" r:id="rId14"/>
      <w:footerReference w:type="first" r:id="rId15"/>
      <w:pgSz w:w="11906" w:h="16838"/>
      <w:pgMar w:top="1418"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22E9" w:rsidRDefault="001E22E9">
      <w:r>
        <w:separator/>
      </w:r>
    </w:p>
  </w:endnote>
  <w:endnote w:type="continuationSeparator" w:id="0">
    <w:p w:rsidR="001E22E9" w:rsidRDefault="001E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Noto Sans CJK SC">
    <w:panose1 w:val="020B0604020202020204"/>
    <w:charset w:val="00"/>
    <w:family w:val="auto"/>
    <w:pitch w:val="variable"/>
  </w:font>
  <w:font w:name="Lohit Devanagar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1998" w:rsidRDefault="007C148F">
    <w:pPr>
      <w:pStyle w:val="Pieddepage"/>
      <w:jc w:val="center"/>
      <w:rPr>
        <w:rStyle w:val="Numrodepage"/>
      </w:rPr>
    </w:pPr>
    <w:r>
      <w:rPr>
        <w:noProof/>
      </w:rPr>
      <w:drawing>
        <wp:anchor distT="0" distB="0" distL="0" distR="0" simplePos="0" relativeHeight="12" behindDoc="1" locked="0" layoutInCell="1" allowOverlap="1">
          <wp:simplePos x="0" y="0"/>
          <wp:positionH relativeFrom="column">
            <wp:align>center</wp:align>
          </wp:positionH>
          <wp:positionV relativeFrom="paragraph">
            <wp:posOffset>635</wp:posOffset>
          </wp:positionV>
          <wp:extent cx="7447915" cy="427990"/>
          <wp:effectExtent l="0" t="0" r="0" b="0"/>
          <wp:wrapSquare wrapText="largest"/>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
                  <a:stretch>
                    <a:fillRect/>
                  </a:stretch>
                </pic:blipFill>
                <pic:spPr bwMode="auto">
                  <a:xfrm>
                    <a:off x="0" y="0"/>
                    <a:ext cx="7447915" cy="427990"/>
                  </a:xfrm>
                  <a:prstGeom prst="rect">
                    <a:avLst/>
                  </a:prstGeom>
                </pic:spPr>
              </pic:pic>
            </a:graphicData>
          </a:graphic>
        </wp:anchor>
      </w:drawing>
    </w:r>
  </w:p>
  <w:p w:rsidR="00661998" w:rsidRDefault="00661998">
    <w:pPr>
      <w:pStyle w:val="Pieddepage"/>
      <w:jc w:val="center"/>
      <w:rPr>
        <w:rStyle w:val="Numrodepage"/>
      </w:rPr>
    </w:pPr>
  </w:p>
  <w:p w:rsidR="00661998" w:rsidRDefault="00661998">
    <w:pPr>
      <w:pStyle w:val="Pieddepage"/>
      <w:jc w:val="center"/>
      <w:rPr>
        <w:rStyle w:val="Numrodepage"/>
      </w:rPr>
    </w:pPr>
  </w:p>
  <w:p w:rsidR="00661998" w:rsidRDefault="007C148F">
    <w:pPr>
      <w:pStyle w:val="Pieddepage"/>
      <w:jc w:val="center"/>
    </w:pPr>
    <w:r>
      <w:rPr>
        <w:rStyle w:val="Numrodepage"/>
      </w:rPr>
      <w:fldChar w:fldCharType="begin"/>
    </w:r>
    <w:r>
      <w:rPr>
        <w:rStyle w:val="Numrodepage"/>
      </w:rPr>
      <w:instrText>PAGE</w:instrText>
    </w:r>
    <w:r>
      <w:rPr>
        <w:rStyle w:val="Numrodepage"/>
      </w:rPr>
      <w:fldChar w:fldCharType="separate"/>
    </w:r>
    <w:r>
      <w:rPr>
        <w:rStyle w:val="Numrodepage"/>
      </w:rPr>
      <w:t>3</w:t>
    </w:r>
    <w:r>
      <w:rPr>
        <w:rStyle w:val="Numrodepage"/>
      </w:rPr>
      <w:fldChar w:fldCharType="end"/>
    </w:r>
    <w:r>
      <w:rPr>
        <w:rStyle w:val="Numrodepage"/>
      </w:rPr>
      <w:t xml:space="preserve"> / </w:t>
    </w:r>
    <w:r>
      <w:rPr>
        <w:rStyle w:val="Numrodepage"/>
      </w:rPr>
      <w:fldChar w:fldCharType="begin"/>
    </w:r>
    <w:r>
      <w:rPr>
        <w:rStyle w:val="Numrodepage"/>
      </w:rPr>
      <w:instrText>NUMPAGES</w:instrText>
    </w:r>
    <w:r>
      <w:rPr>
        <w:rStyle w:val="Numrodepage"/>
      </w:rPr>
      <w:fldChar w:fldCharType="separate"/>
    </w:r>
    <w:r>
      <w:rPr>
        <w:rStyle w:val="Numrodepage"/>
      </w:rPr>
      <w:t>4</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1998" w:rsidRDefault="007C148F">
    <w:pPr>
      <w:pStyle w:val="Pieddepage"/>
      <w:jc w:val="center"/>
      <w:rPr>
        <w:rStyle w:val="Numrodepage"/>
      </w:rPr>
    </w:pPr>
    <w:r>
      <w:rPr>
        <w:noProof/>
      </w:rPr>
      <w:drawing>
        <wp:anchor distT="0" distB="0" distL="0" distR="0" simplePos="0" relativeHeight="13" behindDoc="1" locked="0" layoutInCell="1" allowOverlap="1">
          <wp:simplePos x="0" y="0"/>
          <wp:positionH relativeFrom="column">
            <wp:align>center</wp:align>
          </wp:positionH>
          <wp:positionV relativeFrom="paragraph">
            <wp:posOffset>635</wp:posOffset>
          </wp:positionV>
          <wp:extent cx="7504430" cy="431165"/>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
                  <a:stretch>
                    <a:fillRect/>
                  </a:stretch>
                </pic:blipFill>
                <pic:spPr bwMode="auto">
                  <a:xfrm>
                    <a:off x="0" y="0"/>
                    <a:ext cx="7504430" cy="431165"/>
                  </a:xfrm>
                  <a:prstGeom prst="rect">
                    <a:avLst/>
                  </a:prstGeom>
                </pic:spPr>
              </pic:pic>
            </a:graphicData>
          </a:graphic>
        </wp:anchor>
      </w:drawing>
    </w:r>
  </w:p>
  <w:p w:rsidR="00661998" w:rsidRDefault="00661998">
    <w:pPr>
      <w:pStyle w:val="Pieddepage"/>
      <w:jc w:val="center"/>
      <w:rPr>
        <w:rStyle w:val="Numrodepage"/>
      </w:rPr>
    </w:pPr>
  </w:p>
  <w:p w:rsidR="00661998" w:rsidRDefault="00661998">
    <w:pPr>
      <w:pStyle w:val="Pieddepage"/>
      <w:jc w:val="center"/>
      <w:rPr>
        <w:rStyle w:val="Numrodepage"/>
      </w:rPr>
    </w:pPr>
  </w:p>
  <w:p w:rsidR="00661998" w:rsidRDefault="007C148F">
    <w:pPr>
      <w:pStyle w:val="Pieddepage"/>
      <w:jc w:val="center"/>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r>
      <w:rPr>
        <w:rStyle w:val="Numrodepage"/>
      </w:rPr>
      <w:t xml:space="preserve"> / </w:t>
    </w:r>
    <w:r>
      <w:rPr>
        <w:rStyle w:val="Numrodepage"/>
      </w:rPr>
      <w:fldChar w:fldCharType="begin"/>
    </w:r>
    <w:r>
      <w:rPr>
        <w:rStyle w:val="Numrodepage"/>
      </w:rPr>
      <w:instrText>NUMPAGES</w:instrText>
    </w:r>
    <w:r>
      <w:rPr>
        <w:rStyle w:val="Numrodepage"/>
      </w:rPr>
      <w:fldChar w:fldCharType="separate"/>
    </w:r>
    <w:r>
      <w:rPr>
        <w:rStyle w:val="Numrodepage"/>
      </w:rPr>
      <w:t>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22E9" w:rsidRDefault="001E22E9">
      <w:r>
        <w:separator/>
      </w:r>
    </w:p>
  </w:footnote>
  <w:footnote w:type="continuationSeparator" w:id="0">
    <w:p w:rsidR="001E22E9" w:rsidRDefault="001E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1998" w:rsidRDefault="007C148F">
    <w:pPr>
      <w:pStyle w:val="En-tte"/>
      <w:tabs>
        <w:tab w:val="clear" w:pos="4536"/>
        <w:tab w:val="clear" w:pos="9072"/>
      </w:tabs>
      <w:jc w:val="center"/>
    </w:pPr>
    <w:r>
      <w:rPr>
        <w:noProof/>
      </w:rPr>
      <w:drawing>
        <wp:anchor distT="0" distB="5080" distL="114300" distR="119380" simplePos="0" relativeHeight="5" behindDoc="1" locked="0" layoutInCell="1" allowOverlap="1">
          <wp:simplePos x="0" y="0"/>
          <wp:positionH relativeFrom="column">
            <wp:posOffset>-85725</wp:posOffset>
          </wp:positionH>
          <wp:positionV relativeFrom="paragraph">
            <wp:posOffset>-159385</wp:posOffset>
          </wp:positionV>
          <wp:extent cx="1271270" cy="509270"/>
          <wp:effectExtent l="0" t="0" r="0" b="0"/>
          <wp:wrapNone/>
          <wp:docPr id="3" name="Image 3" descr="logoFirst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FirstTF"/>
                  <pic:cNvPicPr>
                    <a:picLocks noChangeAspect="1" noChangeArrowheads="1"/>
                  </pic:cNvPicPr>
                </pic:nvPicPr>
                <pic:blipFill>
                  <a:blip r:embed="rId1"/>
                  <a:srcRect t="21619" b="21619"/>
                  <a:stretch>
                    <a:fillRect/>
                  </a:stretch>
                </pic:blipFill>
                <pic:spPr bwMode="auto">
                  <a:xfrm>
                    <a:off x="0" y="0"/>
                    <a:ext cx="1271270" cy="509270"/>
                  </a:xfrm>
                  <a:prstGeom prst="rect">
                    <a:avLst/>
                  </a:prstGeom>
                </pic:spPr>
              </pic:pic>
            </a:graphicData>
          </a:graphic>
        </wp:anchor>
      </w:drawing>
    </w:r>
    <w:r>
      <w:rPr>
        <w:noProof/>
      </w:rPr>
      <w:drawing>
        <wp:anchor distT="0" distB="9525" distL="114300" distR="0" simplePos="0" relativeHeight="8" behindDoc="1" locked="0" layoutInCell="1" allowOverlap="1">
          <wp:simplePos x="0" y="0"/>
          <wp:positionH relativeFrom="margin">
            <wp:align>right</wp:align>
          </wp:positionH>
          <wp:positionV relativeFrom="paragraph">
            <wp:posOffset>-165735</wp:posOffset>
          </wp:positionV>
          <wp:extent cx="485775" cy="485775"/>
          <wp:effectExtent l="0" t="0" r="0" b="0"/>
          <wp:wrapNone/>
          <wp:docPr id="4" name="Image 1" descr="C:\Users\ccourvoisier\AppData\Local\Microsoft\Windows\INetCache\Content.Word\logo-SGPI-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ccourvoisier\AppData\Local\Microsoft\Windows\INetCache\Content.Word\logo-SGPI-2018.jpg"/>
                  <pic:cNvPicPr>
                    <a:picLocks noChangeAspect="1" noChangeArrowheads="1"/>
                  </pic:cNvPicPr>
                </pic:nvPicPr>
                <pic:blipFill>
                  <a:blip r:embed="rId2"/>
                  <a:stretch>
                    <a:fillRect/>
                  </a:stretch>
                </pic:blipFill>
                <pic:spPr bwMode="auto">
                  <a:xfrm>
                    <a:off x="0" y="0"/>
                    <a:ext cx="485775" cy="485775"/>
                  </a:xfrm>
                  <a:prstGeom prst="rect">
                    <a:avLst/>
                  </a:prstGeom>
                </pic:spPr>
              </pic:pic>
            </a:graphicData>
          </a:graphic>
        </wp:anchor>
      </w:drawing>
    </w:r>
    <w:r>
      <w:rPr>
        <w:b/>
      </w:rPr>
      <w:t xml:space="preserve"> Soutiens à projets « uni-annuels » – 202</w:t>
    </w:r>
    <w:r w:rsidR="006D6E60">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0DD1"/>
    <w:multiLevelType w:val="multilevel"/>
    <w:tmpl w:val="6EEE1B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3D5CE1"/>
    <w:multiLevelType w:val="multilevel"/>
    <w:tmpl w:val="BE3473C2"/>
    <w:lvl w:ilvl="0">
      <w:start w:val="1"/>
      <w:numFmt w:val="bullet"/>
      <w:lvlText w:val=""/>
      <w:lvlJc w:val="left"/>
      <w:pPr>
        <w:tabs>
          <w:tab w:val="num" w:pos="360"/>
        </w:tabs>
        <w:ind w:left="0" w:firstLine="0"/>
      </w:pPr>
      <w:rPr>
        <w:rFonts w:ascii="Symbol" w:hAnsi="Symbol" w:cs="OpenSymbol"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B1529C"/>
    <w:multiLevelType w:val="multilevel"/>
    <w:tmpl w:val="041E70C8"/>
    <w:lvl w:ilvl="0">
      <w:start w:val="1"/>
      <w:numFmt w:val="bullet"/>
      <w:lvlText w:val=""/>
      <w:lvlJc w:val="left"/>
      <w:pPr>
        <w:tabs>
          <w:tab w:val="num" w:pos="360"/>
        </w:tabs>
        <w:ind w:left="0" w:firstLine="0"/>
      </w:pPr>
      <w:rPr>
        <w:rFonts w:ascii="Symbol" w:hAnsi="Symbol" w:cs="OpenSymbol"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3B21597"/>
    <w:multiLevelType w:val="multilevel"/>
    <w:tmpl w:val="CCF09BEC"/>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
      <w:lvlJc w:val="left"/>
      <w:pPr>
        <w:tabs>
          <w:tab w:val="num" w:pos="1788"/>
        </w:tabs>
        <w:ind w:left="1428" w:firstLine="0"/>
      </w:pPr>
      <w:rPr>
        <w:rFonts w:ascii="Symbol" w:hAnsi="Symbol" w:cs="Open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98"/>
    <w:rsid w:val="001E22E9"/>
    <w:rsid w:val="00355E80"/>
    <w:rsid w:val="003B115D"/>
    <w:rsid w:val="00661998"/>
    <w:rsid w:val="006D6E60"/>
    <w:rsid w:val="0077088D"/>
    <w:rsid w:val="007747BE"/>
    <w:rsid w:val="007C148F"/>
    <w:rsid w:val="009E5530"/>
    <w:rsid w:val="00DA78E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A08EAA8"/>
  <w15:docId w15:val="{66ED0FFA-94DA-3249-98BC-FFC338FA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3E"/>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6415E9"/>
  </w:style>
  <w:style w:type="character" w:styleId="Marquedecommentaire">
    <w:name w:val="annotation reference"/>
    <w:semiHidden/>
    <w:qFormat/>
    <w:rsid w:val="00E25FA3"/>
    <w:rPr>
      <w:sz w:val="16"/>
      <w:szCs w:val="16"/>
    </w:rPr>
  </w:style>
  <w:style w:type="character" w:customStyle="1" w:styleId="Ancredenotedebasdepage">
    <w:name w:val="Ancre de note de bas de page"/>
    <w:rPr>
      <w:vertAlign w:val="superscript"/>
    </w:rPr>
  </w:style>
  <w:style w:type="character" w:customStyle="1" w:styleId="FootnoteCharacters">
    <w:name w:val="Footnote Characters"/>
    <w:semiHidden/>
    <w:qFormat/>
    <w:rsid w:val="00E679AD"/>
    <w:rPr>
      <w:vertAlign w:val="superscript"/>
    </w:rPr>
  </w:style>
  <w:style w:type="character" w:customStyle="1" w:styleId="LienInternet">
    <w:name w:val="Lien Internet"/>
    <w:rsid w:val="00DA6095"/>
    <w:rPr>
      <w:color w:val="0000FF"/>
      <w:u w:val="single"/>
    </w:rPr>
  </w:style>
  <w:style w:type="character" w:customStyle="1" w:styleId="ListLabel1">
    <w:name w:val="ListLabel 1"/>
    <w:qFormat/>
    <w:rPr>
      <w:rFonts w:eastAsia="MS Mincho"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MS Mincho"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MS Mincho" w:cs="Times New Roman"/>
    </w:rPr>
  </w:style>
  <w:style w:type="character" w:customStyle="1" w:styleId="ListLabel10">
    <w:name w:val="ListLabel 10"/>
    <w:qFormat/>
    <w:rPr>
      <w:b/>
      <w:color w:val="auto"/>
      <w:sz w:val="2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MS Mincho"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color w:val="auto"/>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color w:val="auto"/>
      <w:sz w:val="28"/>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sz w:val="28"/>
      <w:szCs w:val="28"/>
    </w:rPr>
  </w:style>
  <w:style w:type="character" w:customStyle="1" w:styleId="ListLabel26">
    <w:name w:val="ListLabel 26"/>
    <w:qFormat/>
  </w:style>
  <w:style w:type="character" w:customStyle="1" w:styleId="ListLabel27">
    <w:name w:val="ListLabel 27"/>
    <w:qFormat/>
    <w:rPr>
      <w:sz w:val="22"/>
    </w:rPr>
  </w:style>
  <w:style w:type="character" w:customStyle="1" w:styleId="ListLabel28">
    <w:name w:val="ListLabel 28"/>
    <w:qFormat/>
    <w:rPr>
      <w:b/>
    </w:rPr>
  </w:style>
  <w:style w:type="character" w:customStyle="1" w:styleId="ListLabel29">
    <w:name w:val="ListLabel 29"/>
    <w:qFormat/>
    <w:rPr>
      <w:rFonts w:cs="Times New Roman"/>
    </w:rPr>
  </w:style>
  <w:style w:type="character" w:customStyle="1" w:styleId="ListLabel30">
    <w:name w:val="ListLabel 30"/>
    <w:qFormat/>
    <w:rPr>
      <w:rFonts w:cs="Symbol"/>
      <w:b/>
      <w:color w:val="auto"/>
      <w:sz w:val="28"/>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b/>
      <w:color w:val="auto"/>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b/>
      <w:color w:val="auto"/>
      <w:sz w:val="28"/>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b/>
      <w:sz w:val="28"/>
      <w:szCs w:val="28"/>
    </w:rPr>
  </w:style>
  <w:style w:type="character" w:customStyle="1" w:styleId="ListLabel57">
    <w:name w:val="ListLabel 57"/>
    <w:qFormat/>
    <w:rPr>
      <w:sz w:val="22"/>
    </w:rPr>
  </w:style>
  <w:style w:type="character" w:customStyle="1" w:styleId="ListLabel58">
    <w:name w:val="ListLabel 58"/>
    <w:qFormat/>
    <w:rPr>
      <w:b/>
    </w:rPr>
  </w:style>
  <w:style w:type="character" w:customStyle="1" w:styleId="ListLabel59">
    <w:name w:val="ListLabel 59"/>
    <w:qFormat/>
    <w:rPr>
      <w:rFonts w:cs="Times New Roman"/>
    </w:rPr>
  </w:style>
  <w:style w:type="character" w:customStyle="1" w:styleId="ListLabel60">
    <w:name w:val="ListLabel 60"/>
    <w:qFormat/>
    <w:rPr>
      <w:rFonts w:cs="Symbol"/>
      <w:b/>
      <w:color w:val="auto"/>
      <w:sz w:val="28"/>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b/>
      <w:color w:val="auto"/>
      <w:sz w:val="28"/>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b/>
      <w:color w:val="auto"/>
      <w:sz w:val="28"/>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b/>
      <w:sz w:val="28"/>
      <w:szCs w:val="28"/>
    </w:rPr>
  </w:style>
  <w:style w:type="character" w:customStyle="1" w:styleId="ListLabel87">
    <w:name w:val="ListLabel 87"/>
    <w:qFormat/>
    <w:rPr>
      <w:sz w:val="22"/>
    </w:rPr>
  </w:style>
  <w:style w:type="character" w:customStyle="1" w:styleId="ListLabel88">
    <w:name w:val="ListLabel 88"/>
    <w:qFormat/>
    <w:rPr>
      <w:b/>
    </w:rPr>
  </w:style>
  <w:style w:type="character" w:customStyle="1" w:styleId="ListLabel89">
    <w:name w:val="ListLabel 89"/>
    <w:qFormat/>
    <w:rPr>
      <w:rFonts w:cs="Times New Roman"/>
    </w:rPr>
  </w:style>
  <w:style w:type="character" w:customStyle="1" w:styleId="ListLabel90">
    <w:name w:val="ListLabel 90"/>
    <w:qFormat/>
    <w:rPr>
      <w:rFonts w:cs="Symbol"/>
      <w:b/>
      <w:color w:val="auto"/>
      <w:sz w:val="28"/>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b/>
      <w:color w:val="auto"/>
      <w:sz w:val="28"/>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b/>
      <w:color w:val="auto"/>
      <w:sz w:val="28"/>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sz w:val="28"/>
      <w:szCs w:val="28"/>
    </w:rPr>
  </w:style>
  <w:style w:type="character" w:customStyle="1" w:styleId="ListLabel117">
    <w:name w:val="ListLabel 117"/>
    <w:qFormat/>
    <w:rPr>
      <w:sz w:val="22"/>
    </w:rPr>
  </w:style>
  <w:style w:type="character" w:customStyle="1" w:styleId="ListLabel118">
    <w:name w:val="ListLabel 118"/>
    <w:qFormat/>
    <w:rPr>
      <w:b/>
    </w:rPr>
  </w:style>
  <w:style w:type="character" w:customStyle="1" w:styleId="ListLabel119">
    <w:name w:val="ListLabel 119"/>
    <w:qFormat/>
    <w:rPr>
      <w:rFonts w:cs="Times New Roman"/>
    </w:rPr>
  </w:style>
  <w:style w:type="character" w:customStyle="1" w:styleId="ListLabel120">
    <w:name w:val="ListLabel 120"/>
    <w:qFormat/>
    <w:rPr>
      <w:rFonts w:cs="Symbol"/>
      <w:b/>
      <w:color w:val="auto"/>
      <w:sz w:val="28"/>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b/>
      <w:color w:val="auto"/>
      <w:sz w:val="28"/>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b/>
      <w:color w:val="auto"/>
      <w:sz w:val="28"/>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sz w:val="28"/>
      <w:szCs w:val="28"/>
    </w:rPr>
  </w:style>
  <w:style w:type="character" w:customStyle="1" w:styleId="ListLabel147">
    <w:name w:val="ListLabel 147"/>
    <w:qFormat/>
    <w:rPr>
      <w:sz w:val="22"/>
    </w:rPr>
  </w:style>
  <w:style w:type="character" w:customStyle="1" w:styleId="ListLabel148">
    <w:name w:val="ListLabel 148"/>
    <w:qFormat/>
    <w:rPr>
      <w:b/>
    </w:rPr>
  </w:style>
  <w:style w:type="character" w:customStyle="1" w:styleId="ListLabel149">
    <w:name w:val="ListLabel 149"/>
    <w:qFormat/>
    <w:rPr>
      <w:rFonts w:cs="Times New Roman"/>
    </w:rPr>
  </w:style>
  <w:style w:type="character" w:customStyle="1" w:styleId="ListLabel150">
    <w:name w:val="ListLabel 150"/>
    <w:qFormat/>
    <w:rPr>
      <w:rFonts w:cs="Symbol"/>
      <w:b/>
      <w:color w:val="auto"/>
      <w:sz w:val="28"/>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color w:val="auto"/>
      <w:sz w:val="28"/>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color w:val="auto"/>
      <w:sz w:val="28"/>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b/>
      <w:sz w:val="28"/>
      <w:szCs w:val="28"/>
    </w:rPr>
  </w:style>
  <w:style w:type="character" w:customStyle="1" w:styleId="ListLabel177">
    <w:name w:val="ListLabel 177"/>
    <w:qFormat/>
    <w:rPr>
      <w:sz w:val="22"/>
    </w:rPr>
  </w:style>
  <w:style w:type="character" w:customStyle="1" w:styleId="ListLabel178">
    <w:name w:val="ListLabel 178"/>
    <w:qFormat/>
    <w:rPr>
      <w:b/>
    </w:rPr>
  </w:style>
  <w:style w:type="character" w:customStyle="1" w:styleId="ListLabel179">
    <w:name w:val="ListLabel 179"/>
    <w:qFormat/>
    <w:rPr>
      <w:rFonts w:cs="Times New Roman"/>
    </w:rPr>
  </w:style>
  <w:style w:type="character" w:customStyle="1" w:styleId="ListLabel180">
    <w:name w:val="ListLabel 180"/>
    <w:qFormat/>
    <w:rPr>
      <w:rFonts w:cs="Symbol"/>
      <w:b/>
      <w:color w:val="auto"/>
      <w:sz w:val="28"/>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b/>
      <w:color w:val="auto"/>
      <w:sz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b/>
      <w:color w:val="auto"/>
      <w:sz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b/>
      <w:sz w:val="28"/>
      <w:szCs w:val="28"/>
    </w:rPr>
  </w:style>
  <w:style w:type="character" w:customStyle="1" w:styleId="ListLabel207">
    <w:name w:val="ListLabel 207"/>
    <w:qFormat/>
    <w:rPr>
      <w:sz w:val="22"/>
    </w:rPr>
  </w:style>
  <w:style w:type="character" w:customStyle="1" w:styleId="ListLabel208">
    <w:name w:val="ListLabel 208"/>
    <w:qFormat/>
    <w:rPr>
      <w:b/>
    </w:rPr>
  </w:style>
  <w:style w:type="character" w:customStyle="1" w:styleId="Puces">
    <w:name w:val="Puces"/>
    <w:qFormat/>
    <w:rPr>
      <w:rFonts w:ascii="OpenSymbol" w:eastAsia="OpenSymbol" w:hAnsi="OpenSymbol" w:cs="OpenSymbol"/>
    </w:rPr>
  </w:style>
  <w:style w:type="character" w:customStyle="1" w:styleId="ListLabel209">
    <w:name w:val="ListLabel 209"/>
    <w:qFormat/>
    <w:rPr>
      <w:rFonts w:cs="Times New Roman"/>
    </w:rPr>
  </w:style>
  <w:style w:type="character" w:customStyle="1" w:styleId="ListLabel210">
    <w:name w:val="ListLabel 210"/>
    <w:qFormat/>
    <w:rPr>
      <w:rFonts w:cs="OpenSymbol"/>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OpenSymbol"/>
      <w:b/>
      <w:sz w:val="2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OpenSymbol"/>
      <w:b/>
      <w:sz w:val="28"/>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b/>
      <w:sz w:val="28"/>
      <w:szCs w:val="28"/>
    </w:rPr>
  </w:style>
  <w:style w:type="character" w:customStyle="1" w:styleId="ListLabel237">
    <w:name w:val="ListLabel 237"/>
    <w:qFormat/>
    <w:rPr>
      <w:sz w:val="22"/>
    </w:rPr>
  </w:style>
  <w:style w:type="character" w:customStyle="1" w:styleId="ListLabel238">
    <w:name w:val="ListLabel 238"/>
    <w:qFormat/>
    <w:rPr>
      <w:b/>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En-tte">
    <w:name w:val="header"/>
    <w:basedOn w:val="Normal"/>
    <w:rsid w:val="006415E9"/>
    <w:pPr>
      <w:tabs>
        <w:tab w:val="center" w:pos="4536"/>
        <w:tab w:val="right" w:pos="9072"/>
      </w:tabs>
    </w:pPr>
  </w:style>
  <w:style w:type="paragraph" w:styleId="Pieddepage">
    <w:name w:val="footer"/>
    <w:basedOn w:val="Normal"/>
    <w:rsid w:val="006415E9"/>
    <w:pPr>
      <w:tabs>
        <w:tab w:val="center" w:pos="4536"/>
        <w:tab w:val="right" w:pos="9072"/>
      </w:tabs>
    </w:pPr>
  </w:style>
  <w:style w:type="paragraph" w:styleId="Commentaire">
    <w:name w:val="annotation text"/>
    <w:basedOn w:val="Normal"/>
    <w:semiHidden/>
    <w:qFormat/>
    <w:rsid w:val="00E25FA3"/>
    <w:rPr>
      <w:sz w:val="20"/>
      <w:szCs w:val="20"/>
    </w:rPr>
  </w:style>
  <w:style w:type="paragraph" w:styleId="Objetducommentaire">
    <w:name w:val="annotation subject"/>
    <w:basedOn w:val="Commentaire"/>
    <w:semiHidden/>
    <w:qFormat/>
    <w:rsid w:val="00E25FA3"/>
    <w:rPr>
      <w:b/>
      <w:bCs/>
    </w:rPr>
  </w:style>
  <w:style w:type="paragraph" w:styleId="Textedebulles">
    <w:name w:val="Balloon Text"/>
    <w:basedOn w:val="Normal"/>
    <w:semiHidden/>
    <w:qFormat/>
    <w:rsid w:val="00E25FA3"/>
    <w:rPr>
      <w:rFonts w:ascii="Tahoma" w:hAnsi="Tahoma" w:cs="Tahoma"/>
      <w:sz w:val="16"/>
      <w:szCs w:val="16"/>
    </w:rPr>
  </w:style>
  <w:style w:type="paragraph" w:styleId="Notedebasdepage">
    <w:name w:val="footnote text"/>
    <w:basedOn w:val="Normal"/>
    <w:semiHidden/>
    <w:rsid w:val="00E679AD"/>
    <w:rPr>
      <w:sz w:val="20"/>
      <w:szCs w:val="20"/>
    </w:rPr>
  </w:style>
  <w:style w:type="paragraph" w:styleId="Paragraphedeliste">
    <w:name w:val="List Paragraph"/>
    <w:basedOn w:val="Normal"/>
    <w:uiPriority w:val="34"/>
    <w:qFormat/>
    <w:rsid w:val="00D916A1"/>
    <w:pPr>
      <w:ind w:left="720"/>
      <w:contextualSpacing/>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rsid w:val="000C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first-t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first-tf.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o@first-tf.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903A-A29C-41C5-9EC7-076CEEC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836</Words>
  <Characters>4602</Characters>
  <Application>Microsoft Office Word</Application>
  <DocSecurity>0</DocSecurity>
  <Lines>38</Lines>
  <Paragraphs>10</Paragraphs>
  <ScaleCrop>false</ScaleCrop>
  <Company>SYRTE - OBservatoire de Paris</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Labex FIRST-TF</dc:title>
  <dc:subject/>
  <dc:creator>Noel</dc:creator>
  <dc:description/>
  <cp:lastModifiedBy>Microsoft Office User</cp:lastModifiedBy>
  <cp:revision>7</cp:revision>
  <cp:lastPrinted>2019-01-02T10:17:00Z</cp:lastPrinted>
  <dcterms:created xsi:type="dcterms:W3CDTF">2021-01-08T12:09:00Z</dcterms:created>
  <dcterms:modified xsi:type="dcterms:W3CDTF">2021-01-15T11:05:00Z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SYRTE - OBservatoire de Paris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